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xml:space="preserve">2024年度</w:t>
              <w:br w:type="textWrapping"/>
              <w:t/>
            </w:r>
            <w:r>
              <w:rPr>
                <w:b w:val="on"/>
                <w:rFonts w:ascii="宋体" w:eastAsia="宋体" w:hAnsi="宋体" w:cs="宋体"/>
                <w:sz w:val="52"/>
                <w:u w:color="auto"/>
              </w:rPr>
              <w:t>南京市足球运动学校</w:t>
            </w:r>
            <w:r>
              <w:rPr>
                <w:b w:val="on"/>
                <w:rFonts w:ascii="宋体" w:eastAsia="宋体" w:hAnsi="宋体" w:cs="宋体"/>
                <w:sz w:val="52"/>
                <w:u w:color="auto"/>
              </w:rPr>
              <w:t xml:space="preserve"></w:t>
              <w:br w:type="textWrapping"/>
              <w:t>单位决算公开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单位</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单位</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南京市足球运动学校成立于1957年，是南京市最早成立的两所体校之一，2014年5月与南京市足球运动管理中心合并为南京市足球运动学校。住所：南京市北京东路51号51幢，法定代表人：闵永健，经费来源：全额拨款，开办资金：98万元，举办单位：南京市体育局。事业单位法人证书统一社会信用代码：1232010042580221X4。</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部门职能：组织开展相关体育专业训练；按有关规定和要求完成有关体育比赛任务；承担全市足球项目的业务管理，指导协调全市足球运动相关工作；提供公益性健身活动场所，做好全民健身活动的服务工作。</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单位</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一室一科，分别是：办公室、训练科。内设机构职责：（1）办公室。负责协调全校各部门工作，确保各项任务的及时上传下达，检查督办任务落实情况；管理财务部门，认真贯彻执行《会计法》，维护财经纪律，加强财务管理，搞好会计核算；管理安全保卫部门，负责学校安全保卫工作的宣传、组织、管理、协调和督促检查，经常进行调查研究，及时分析、综合、汇报本校的安全状况。（2）训练科。在校领导的指导下，负责审定运动队教学训练和比赛工作，是训练工作的直接组织部门。</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本单位无下属单位。</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2024年足球运动学校围绕基础，完善机制、健全政策、规范管理，抓重点，推动单位事业发展，2024年度重点工作任务及目标如下：</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办公室：负责协调全校各部门工作，确保各项任务的及时上传下达；年度预决算工作、日常财务管理工作；内部控制和审计工作;固定资产购买使用和盘点工作；橄榄球场地养护工作、消防器材更换工作、监控设备维保工作；以及接上级安排的其他工作任务等。</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2、训练科：负责审定运动队教学训练和比赛工作，是训练工作的直接组织部门；运动队保障工作，完成省运会比赛目标任务等。</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南京市足球运动学校</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单位</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color w:val="000000"/>
                <w:lang w:eastAsia="ar-SA"/>
              </w:rPr>
              <w:t>南京市足球运动学校</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1,036.96</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464.50</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763.19</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0.03</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91.83</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192.10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464.50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1,501.49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1,511.62</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36.89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26.76</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1,538.38</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1,538.38</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1,501.49</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1,501.46</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0.03</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文化旅游体育与传媒支出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753.06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753.03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0.03</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753.06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753.03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0.03</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体育竞赛</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63.32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63.32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体育训练</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689.74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689.71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0.03</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91.83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91.83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91.83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91.83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事业单位离退休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30.85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30.85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40.64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40.64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20.34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20.34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192.10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192.10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192.10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192.10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42.18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42.18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149.92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149.92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其他支出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464.50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464.50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22960</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彩票公益金安排的支出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464.50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464.50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2296003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464.50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464.50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1,511.62</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963.48</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548.14</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文化旅游体育与传媒支出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763.19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679.55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83.64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763.19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679.55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83.64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体育竞赛</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63.32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63.32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体育训练</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699.87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679.55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20.32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91.83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91.83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91.83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91.83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事业单位离退休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30.85</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30.85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40.64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40.64</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20.34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20.34</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192.10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192.10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192.10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192.10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42.18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42.18</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149.92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149.92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其他支出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464.50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464.50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22960</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彩票公益金安排的支出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464.50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464.50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2296003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用于体育事业的彩票公益金支出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464.50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464.50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1,036.96</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464.50</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763.19</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763.19</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91.83</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91.83</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192.10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192.10</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464.50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464.50</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1,501.46</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1,511.62</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1,047.12</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464.50</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33.81</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23.65</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23.65</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33.81</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1,535.26</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1,535.26</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1,070.76</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464.50</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1,511.62</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963.48</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548.14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文化旅游体育与传媒支出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763.19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679.55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83.64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763.19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679.55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83.64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体育竞赛</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63.32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63.32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体育训练</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699.87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679.55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20.32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91.83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91.83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91.83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91.83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事业单位离退休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30.85</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30.85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40.64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40.64</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20.34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20.34</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192.10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192.10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192.10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192.10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42.18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42.18</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149.92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149.92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其他支出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464.50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464.50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22960</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彩票公益金安排的支出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464.50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464.50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2296003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464.50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464.50</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963.48</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867.82</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95.65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601.52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601.52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86.96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86.96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111.01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111.01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7.27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7.27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172.79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172.79</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36.30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36.30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17.95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17.95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15.88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15.88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3.68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3.68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41.83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41.83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2.45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105.41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105.41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95.65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95.65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6.29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6.29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0.18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0.18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5.11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5.11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2.13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2.13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24.29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24.29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2.74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2.74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1.86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1.86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9.02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9.02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0.16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0.16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24.60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24.60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5.32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5.32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5.99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5.99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6.96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6.96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266.30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266.30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40.07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40.07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65.88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65.88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5.85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5.85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3.37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3.37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149.03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149.03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0.20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1.90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1.90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1,047.12</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963.48</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83.64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文化旅游体育与传媒支出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763.19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679.55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83.64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763.19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679.55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83.64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体育竞赛</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63.32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63.32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体育训练</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699.87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679.55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20.32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91.83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91.83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91.83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91.83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事业单位离退休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30.85</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30.85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40.64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40.64</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20.34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20.34</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192.10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192.10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192.10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192.10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42.18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42.18</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149.92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149.92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963.48</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867.82</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95.65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601.52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601.52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86.96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86.96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111.01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111.01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7.27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7.27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172.79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172.79</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36.30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36.30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17.95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17.95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15.88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15.88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3.68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3.68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41.83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41.83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2.45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105.41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105.41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95.65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95.65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6.29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6.29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0.18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0.18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5.11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5.11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2.13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2.13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24.29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24.29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2.74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2.74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1.86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1.86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9.02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9.02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0.16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0.16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24.60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24.60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5.32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5.32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5.99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5.99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6.96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6.96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266.30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266.30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40.07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40.07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65.88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65.88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5.85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5.85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3.37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3.37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149.03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149.03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0.20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0.20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1.90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1.90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3.81</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3.81</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3.81</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3.81</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0.00</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464.50</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464.50</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其他支出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464.50</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464.50</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22960</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xml:space="preserve">  彩票公益金安排的支出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464.50</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464.50</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2296003</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464.50</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464.50</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lang w:val="en-US"/>
        </w:rPr>
        <w:t/>
      </w:r>
    </w:p>
    <w:p w14:paraId="20CA0BD9">
      <w:pPr>
        <w:tabs>
          <w:tab w:val="left" w:pos="440"/>
        </w:tabs>
        <w:spacing w:before="25"/>
        <w:ind w:left="440" w:leftChars="200"/>
        <w:jc w:val="both"/>
        <w:rPr>
          <w:rFonts w:hint="eastAsia" w:ascii="仿宋" w:hAnsi="仿宋" w:eastAsia="仿宋" w:cs="仿宋"/>
        </w:rPr>
      </w:pPr>
      <w:r>
        <w:rPr>
          <w:rFonts w:hint="eastAsia" w:ascii="仿宋" w:hAnsi="仿宋" w:eastAsia="仿宋" w:cs="仿宋"/>
          <w:lang w:val="en-US"/>
        </w:rPr>
        <w:t/>
      </w:r>
      <w:r>
        <w:rPr>
          <w:rFonts w:hint="eastAsia" w:ascii="仿宋" w:hAnsi="仿宋" w:eastAsia="仿宋" w:cs="仿宋"/>
        </w:rPr>
        <w:t>本</w:t>
      </w:r>
      <w:r>
        <w:rPr>
          <w:rFonts w:hint="eastAsia" w:ascii="仿宋" w:hAnsi="仿宋" w:eastAsia="仿宋" w:cs="仿宋"/>
          <w:lang w:val="en-US"/>
        </w:rPr>
        <w:t>单位</w:t>
      </w:r>
      <w:r>
        <w:rPr>
          <w:rFonts w:hint="eastAsia" w:ascii="仿宋" w:hAnsi="仿宋" w:eastAsia="仿宋" w:cs="仿宋"/>
        </w:rPr>
        <w:t>无</w:t>
      </w:r>
      <w:r>
        <w:rPr>
          <w:rFonts w:hint="eastAsia" w:ascii="仿宋" w:hAnsi="仿宋" w:eastAsia="仿宋" w:cs="仿宋"/>
          <w:lang w:val="en-US"/>
        </w:rPr>
        <w:t>财政拨款</w:t>
      </w:r>
      <w:r>
        <w:rPr>
          <w:rFonts w:hint="eastAsia" w:ascii="仿宋" w:hAnsi="仿宋" w:eastAsia="仿宋" w:cs="仿宋"/>
        </w:rPr>
        <w:t>机关运行经费支出决算</w:t>
      </w:r>
      <w:r>
        <w:rPr>
          <w:rFonts w:hint="eastAsia" w:ascii="仿宋" w:hAnsi="仿宋" w:eastAsia="仿宋" w:cs="仿宋"/>
          <w:lang w:val="en-US"/>
        </w:rPr>
        <w:t>，</w:t>
      </w:r>
      <w:r>
        <w:rPr>
          <w:rFonts w:hint="eastAsia" w:ascii="仿宋" w:hAnsi="仿宋" w:eastAsia="仿宋" w:cs="仿宋"/>
          <w:u/>
        </w:rPr>
        <w:t>故本表为空。</w:t>
      </w:r>
      <w:r>
        <w:rPr>
          <w:rFonts w:ascii="仿宋" w:eastAsia="仿宋" w:hAnsi="仿宋" w:cs="仿宋"/>
          <w:u w:color="auto"/>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南京市足球运动学校</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74.23</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9.38</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64.85</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74.23</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74.23</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单位</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2024年度收入、支出决算总计1,538.38万元。与上年相比，收、支总计各减少126.71万元，减少7.61%。其中：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（一）收入决算总计1,538.38万元。包括：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1.本年收入决算合计1,501.49万元。与上年相比，减少131.96万元，减少8.08%，变动原因：项目较上年数量减少、项目资金压减。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3.年初结转和结余36.89万元。与上年相比，增加5.25万元，增长16.59%，变动原因：部分往来款项未结清。</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（二）支出决算总计1,538.38万元。包括：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1.本年支出决算合计1,511.62万元。与上年相比，减少116.58万元，减少7.16%，变动原因：项目较上年数量减少、项目资金压减。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3.年末结转和结余26.76万元。结转和结余事项：部分往来款项未结清。与上年相比，减少10.13万元，减少27.46%，变动原因：部分往来款项已结清。</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1,501.49万元，其中：财政拨款收入1,501.46万元，占100%（该占比四舍五入后为100%）；上级补助收入0万元，占0%；财政专户管理教育收费0万元，占0%；事业收入（不含专户管理教育收费）0万元，占0%；经营收入0万元，占0%；附属单位上缴收入0万元，占0%；其他收入0.03万元，占0%（该占比四舍五入后为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2024年度本年支出决算合计1,511.62万元，其中：基本支出963.48万元，占63.74%；项目支出548.14万元，占36.26%；上缴上级支出0万元，占0%；经营支出0万元，占0%；对附属单位补助支出0万元，占0%。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2024年度财政拨款收入、支出决算总计1,535.26万元。与上年相比，收、支总计各减少123.78万元，减少7.46%，变动原因：项目较上年数量减少、项目资金压减。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2024年度财政拨款支出决算1,511.62万元，占本年支出合计的100%。与2024年度财政拨款支出年初预算1,134.61万元相比，完成年初预算的133.23%。其中：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（一）文化旅游体育与传媒支出（类）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1.体育（款）体育竞赛（项）。年初预算83.32万元，支出决算63.32万元，完成年初预算的76%。决算数与年初预算数的差异原因：资金压减。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2.体育（款）体育训练（项）。年初预算766.78万元，支出决算699.87万元，完成年初预算的91.27%。决算数与年初预算数的差异原因：资金压减。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1.行政事业单位养老支出（款）事业单位离退休（项）。年初预算30.85万元，支出决算30.85万元，完成年初预算的100%。决算数与年初预算数相同。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2.行政事业单位养老支出（款）机关事业单位基本养老保险缴费支出（项）。年初预算40.64万元，支出决算40.64万元，完成年初预算的100%。决算数与年初预算数相同。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3.行政事业单位养老支出（款）机关事业单位职业年金缴费支出（项）。年初预算20.34万元，支出决算20.34万元，完成年初预算的100%。决算数与年初预算数相同。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1.住房改革支出（款）住房公积金（项）。年初预算38.2万元，支出决算42.18万元，完成年初预算的110.42%。决算数与年初预算数的差异原因：住房公积金调整。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2.住房改革支出（款）提租补贴（项）。年初预算154.48万元，支出决算149.92万元，完成年初预算的97.05%。决算数与年初预算数的差异原因：提租补贴调整。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（四）其他支出（类）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彩票公益金安排的支出（款）用于体育事业的彩票公益金支出（项）。年初预算0万元，支出决算464.5万元，（年初预算数为0万元，无法计算完成比率）决算数与年初预算数的差异原因：新增彩票公益金项目。</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2024年度财政拨款基本支出决算963.48万元，其中：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（一）人员经费867.82万元。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绩效工资、机关事业单位基本养老保险缴费、职业年金缴费、职工基本医疗保险缴费、其他社会保障缴费、住房公积金、医疗费、其他工资福利支出、离休费、退休费、抚恤金、医疗费补助、助学金、奖励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（二）公用经费95.65万元。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主要包括：办公费、水费、电费、邮电费、差旅费、维修（护）费、租赁费、专用材料费、劳务费、委托业务费、工会经费、福利费、其他交通费用、其他商品和服务支出。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2024年度一般公共预算财政拨款支出决算1,047.12万元。与上年相比，减少578.12万元，减少35.57%，变动原因：项目较上年数量减少、项目资金压减。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2024年度一般公共预算财政拨款基本支出决算963.48万元，其中：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（一）人员经费867.82万元。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绩效工资、机关事业单位基本养老保险缴费、职业年金缴费、职工基本医疗保险缴费、其他社会保障缴费、住房公积金、医疗费、其他工资福利支出、离休费、退休费、抚恤金、医疗费补助、助学金、奖励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（二）公用经费95.65万元。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主要包括：办公费、水费、电费、邮电费、差旅费、维修（护）费、租赁费、专用材料费、劳务费、委托业务费、工会经费、福利费、其他交通费用、其他商品和服务支出。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3.81万元（其中：一般公共预算支出3.81万元；政府性基金预算支出0万元；国有资本经营预算支出0万元）。与上年相比，增加3.81万元，变动原因：新增因公出国（境）项目。其中，因公出国（境）费支出3.81万元，占“三公”经费的100%；公务用车购置及运行维护费支出0万元，占“三公”经费的0%；公务接待费支出0万元，占“三公”经费的0%。2024年度财政拨款“三公”经费支出预算3.81万元（其中：一般公共预算支出3.81万元；政府性基金预算支出0万元；国有资本经营预算支出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3.81万元（其中：一般公共预算支出3.81万元；政府性基金预算支出0万元；国有资本经营预算支出0万元），支出决算3.81万元（其中：一般公共预算支出3.81万元；政府性基金预算支出0万元；国有资本经营预算支出0万元），完成调整后预算的100%，决算数与预算数相同。全年使用财政拨款涉及的出国（境）团组0个，累计1人次。开支内容：闵永健同志参加南京市教育局组团赴英国伦敦考察学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0万元。公务用车运行维护费主要用于按规定保留的公务用车的燃料费、维修费、过桥过路费、保险费、安全奖励费用等支出。截至2024年12月31日，使用财政拨款开支的公务用车保有量为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国内公务接待支出0万元，接待0批次，0人次；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召开会议0个，参加会议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组织培训0个，组织培训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2024年度政府性基金预算财政拨款支出决算464.5万元。与上年相比，增加464.5万元（上年决算数为0万元，无法计算增减比率），变动原因：年中新增项目。</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2024年度机关运行经费支出决算0万元（其中：一般公共预算支出0万元；政府性基金预算支出0万元；国有资本经营预算支出0万元）。与上年决算数相同。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74.23万元，其中：政府采购货物支出9.38万元、政府采购工程支出0万元、政府采购服务支出64.85万元。政府采购授予中小企业合同金额74.23万元，占政府采购支出总额的100%，其中：授予小微企业合同金额74.23万元，占授予中小企业合同金额的100%。</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单位共有车辆1辆，其中：副部(省)级及以上领导用车0辆、主要领导干部用车0辆、机要通信用车0辆、应急保障用车0辆、执法执勤用车0辆、特种专业技术用车0辆、离退休干部用车0辆、其他用车1辆；单价100万元（含）以上的设备0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2024年度，本单位共4个项目开展了财政重点绩效评价，涉及财政性资金合计79.82万元；本单位开展单位整体支出财政重点绩效评价，涉及财政性资金1,511.62万元。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本单位共对上年度已实施完成的8个项目开展了绩效自评价，涉及财政性资金合计542.47万元；本单位共开展1项单位整体支出绩效自评价，涉及财政性资金合计1,628.2万元。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十九、文化旅游体育与传媒支出(类)体育(款)体育竞赛(项)</w:t>
      </w:r>
      <w:r>
        <w:rPr>
          <w:b w:val="on"/>
          <w:rFonts w:ascii="仿宋" w:eastAsia="仿宋" w:hAnsi="仿宋" w:cs="仿宋"/>
          <w:u w:color="auto"/>
        </w:rPr>
        <w:t>：</w:t>
      </w:r>
      <w:r>
        <w:rPr>
          <w:rFonts w:hint="eastAsia" w:ascii="仿宋" w:hAnsi="仿宋" w:eastAsia="仿宋" w:cs="仿宋"/>
        </w:rPr>
        <w:t>反映综合性运动会及单项体育比赛支出。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二十、文化旅游体育与传媒支出(类)体育(款)体育训练(项)</w:t>
      </w:r>
      <w:r>
        <w:rPr>
          <w:b w:val="on"/>
          <w:rFonts w:ascii="仿宋" w:eastAsia="仿宋" w:hAnsi="仿宋" w:cs="仿宋"/>
          <w:u w:color="auto"/>
        </w:rPr>
        <w:t>：</w:t>
      </w:r>
      <w:r>
        <w:rPr>
          <w:rFonts w:hint="eastAsia" w:ascii="仿宋" w:hAnsi="仿宋" w:eastAsia="仿宋" w:cs="仿宋"/>
        </w:rPr>
        <w:t>反映各级体育运动队训练补助及器材购置等方面的支出。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二十一、社会保障和就业支出(类)行政事业单位养老支出(款)事业单位离退休(项)</w:t>
      </w:r>
      <w:r>
        <w:rPr>
          <w:b w:val="on"/>
          <w:rFonts w:ascii="仿宋" w:eastAsia="仿宋" w:hAnsi="仿宋" w:cs="仿宋"/>
          <w:u w:color="auto"/>
        </w:rPr>
        <w:t>：</w:t>
      </w:r>
      <w:r>
        <w:rPr>
          <w:rFonts w:hint="eastAsia" w:ascii="仿宋" w:hAnsi="仿宋" w:eastAsia="仿宋" w:cs="仿宋"/>
        </w:rPr>
        <w:t>反映事业单位开支的离退休经费。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二十四、住房保障支出(类)住房改革支出(款)住房公积金(项)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二十五、住房保障支出(类)住房改革支出(款)提租补贴(项)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二十六、其他支出(类)彩票公益金安排的支出(款)用于体育事业的彩票公益金支出(项)</w:t>
      </w:r>
      <w:r>
        <w:rPr>
          <w:b w:val="on"/>
          <w:rFonts w:ascii="仿宋" w:eastAsia="仿宋" w:hAnsi="仿宋" w:cs="仿宋"/>
          <w:u w:color="auto"/>
        </w:rPr>
        <w:t>：</w:t>
      </w:r>
      <w:r>
        <w:rPr>
          <w:rFonts w:hint="eastAsia" w:ascii="仿宋" w:hAnsi="仿宋" w:eastAsia="仿宋" w:cs="仿宋"/>
        </w:rPr>
        <w:t>反映用于体育事业的彩票公益金支出。</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南京市足球运动学校</w:t>
    </w:r>
    <w:r>
      <w:rPr>
        <w:rFonts w:hint="eastAsia"/>
        <w:lang w:val="en-US" w:eastAsia="zh-CN"/>
      </w:rPr>
      <w:t>2024</w:t>
    </w:r>
    <w:r>
      <w:rPr>
        <w:rFonts w:hint="eastAsia"/>
        <w:lang w:val="en-US"/>
        <w:u/>
      </w:rPr>
      <w:t>年度</w:t>
    </w:r>
    <w:r>
      <w:rPr>
        <w:u w:color="auto"/>
      </w:rPr>
      <w:t>单位</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